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 </w:t>
      </w:r>
      <w:r/>
    </w:p>
    <w:p>
      <w:pPr>
        <w:ind w:left="4536"/>
        <w:jc w:val="right"/>
        <w:tabs>
          <w:tab w:val="left" w:pos="-14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отбора среди кредитных организаций на получение права размещения на депозите</w:t>
      </w:r>
      <w:r>
        <w:rPr>
          <w:sz w:val="24"/>
          <w:szCs w:val="24"/>
        </w:rPr>
        <w:t xml:space="preserve"> денежных средств Тульского областного гарантийного фонда, утверждённому протоколом Совета Тульского областного гарантийного фонда </w:t>
      </w:r>
      <w:r/>
    </w:p>
    <w:p>
      <w:pPr>
        <w:ind w:left="4320"/>
        <w:jc w:val="center"/>
        <w:tabs>
          <w:tab w:val="left" w:pos="-140" w:leader="none"/>
        </w:tabs>
        <w:rPr>
          <w:sz w:val="24"/>
          <w:szCs w:val="24"/>
        </w:rPr>
      </w:pPr>
      <w:r>
        <w:rPr>
          <w:szCs w:val="28"/>
        </w:rPr>
        <w:t xml:space="preserve">                                     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3</w:t>
      </w:r>
      <w:bookmarkStart w:id="0" w:name="_GoBack"/>
      <w:r/>
      <w:bookmarkEnd w:id="0"/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25.11.2022</w:t>
      </w:r>
      <w:r>
        <w:rPr>
          <w:sz w:val="24"/>
          <w:szCs w:val="24"/>
        </w:rPr>
        <w:t xml:space="preserve">г.</w:t>
      </w:r>
      <w:r/>
    </w:p>
    <w:p>
      <w:pPr>
        <w:ind w:left="4536"/>
        <w:jc w:val="right"/>
        <w:tabs>
          <w:tab w:val="left" w:pos="-14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4536"/>
        <w:jc w:val="right"/>
        <w:tabs>
          <w:tab w:val="left" w:pos="-14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Извещение о проведении отбора</w:t>
      </w:r>
      <w:r/>
    </w:p>
    <w:p>
      <w:pPr>
        <w:jc w:val="center"/>
        <w:rPr>
          <w:b/>
          <w:szCs w:val="28"/>
        </w:rPr>
      </w:pPr>
      <w:r>
        <w:rPr>
          <w:b/>
          <w:szCs w:val="28"/>
        </w:rPr>
      </w:r>
      <w:r/>
    </w:p>
    <w:p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Тульский областной гарантийный фонд (далее – Фонд</w:t>
      </w:r>
      <w:r>
        <w:rPr>
          <w:b/>
          <w:szCs w:val="28"/>
        </w:rPr>
        <w:t xml:space="preserve">, Организатор отбора</w:t>
      </w:r>
      <w:r>
        <w:rPr>
          <w:b/>
          <w:szCs w:val="28"/>
        </w:rPr>
        <w:t xml:space="preserve">) извещает о проведении отбора среди кредитных организаций (Участников) на получение права размещения на депозите денежных средств Фонда</w:t>
      </w:r>
      <w:r>
        <w:rPr>
          <w:szCs w:val="28"/>
        </w:rPr>
        <w:t xml:space="preserve">:</w:t>
      </w:r>
      <w:r/>
    </w:p>
    <w:p>
      <w:pPr>
        <w:ind w:firstLine="720"/>
        <w:jc w:val="both"/>
        <w:tabs>
          <w:tab w:val="left" w:pos="1701" w:leader="none"/>
        </w:tabs>
        <w:rPr>
          <w:szCs w:val="28"/>
        </w:rPr>
      </w:pPr>
      <w:r>
        <w:rPr>
          <w:szCs w:val="28"/>
        </w:rPr>
        <w:t xml:space="preserve">Лот № 1: денежные средства в размере</w:t>
      </w:r>
      <w:r>
        <w:rPr>
          <w:b/>
          <w:szCs w:val="28"/>
        </w:rPr>
        <w:t xml:space="preserve"> 175 000 000,00 руб.;</w:t>
      </w:r>
      <w:r>
        <w:rPr>
          <w:szCs w:val="28"/>
        </w:rPr>
        <w:t xml:space="preserve"> </w:t>
      </w:r>
      <w:r/>
    </w:p>
    <w:p>
      <w:pPr>
        <w:ind w:firstLine="720"/>
        <w:jc w:val="both"/>
        <w:tabs>
          <w:tab w:val="left" w:pos="1701" w:leader="none"/>
        </w:tabs>
        <w:rPr>
          <w:b/>
          <w:szCs w:val="28"/>
        </w:rPr>
      </w:pPr>
      <w:r>
        <w:rPr>
          <w:szCs w:val="28"/>
        </w:rPr>
        <w:t xml:space="preserve">Лот № 2: денежные средства в размере </w:t>
      </w:r>
      <w:r>
        <w:rPr>
          <w:b/>
          <w:szCs w:val="28"/>
        </w:rPr>
        <w:t xml:space="preserve">175 000 000,00 руб.;</w:t>
      </w:r>
      <w:r/>
    </w:p>
    <w:p>
      <w:pPr>
        <w:ind w:firstLine="720"/>
        <w:jc w:val="both"/>
        <w:tabs>
          <w:tab w:val="left" w:pos="1701" w:leader="none"/>
        </w:tabs>
        <w:rPr>
          <w:szCs w:val="28"/>
        </w:rPr>
      </w:pPr>
      <w:r>
        <w:rPr>
          <w:szCs w:val="28"/>
        </w:rPr>
        <w:t xml:space="preserve">Лот № 3: денежные средства в размере</w:t>
      </w:r>
      <w:r>
        <w:rPr>
          <w:b/>
          <w:szCs w:val="28"/>
        </w:rPr>
        <w:t xml:space="preserve">   69 534 135,32 руб.;</w:t>
      </w:r>
      <w:r>
        <w:rPr>
          <w:szCs w:val="28"/>
        </w:rPr>
        <w:t xml:space="preserve"> </w:t>
      </w:r>
      <w:r/>
    </w:p>
    <w:p>
      <w:pPr>
        <w:ind w:firstLine="720"/>
        <w:jc w:val="both"/>
        <w:tabs>
          <w:tab w:val="left" w:pos="1701" w:leader="none"/>
        </w:tabs>
        <w:rPr>
          <w:szCs w:val="28"/>
        </w:rPr>
      </w:pPr>
      <w:r>
        <w:rPr>
          <w:szCs w:val="28"/>
        </w:rPr>
        <w:t xml:space="preserve">Лот № 4: денежные средства в размере</w:t>
      </w:r>
      <w:r>
        <w:rPr>
          <w:b/>
          <w:szCs w:val="28"/>
        </w:rPr>
        <w:t xml:space="preserve">   80 000 000,00 руб.</w:t>
      </w:r>
      <w:r>
        <w:rPr>
          <w:szCs w:val="28"/>
        </w:rPr>
        <w:t xml:space="preserve"> </w:t>
      </w:r>
      <w:r/>
    </w:p>
    <w:p>
      <w:pPr>
        <w:ind w:firstLine="720"/>
        <w:jc w:val="both"/>
        <w:tabs>
          <w:tab w:val="left" w:pos="1701" w:leader="none"/>
        </w:tabs>
        <w:rPr>
          <w:b/>
          <w:szCs w:val="28"/>
        </w:rPr>
      </w:pPr>
      <w:r>
        <w:rPr>
          <w:b/>
          <w:szCs w:val="28"/>
        </w:rPr>
      </w:r>
      <w:r/>
    </w:p>
    <w:p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Условия размещения Лотов №№ 1-4: Срок размещения – с 19 декабря 2022г. до 19 июня 2023г., с ежемесячным начислением и  выплатой процентов.</w:t>
      </w:r>
      <w:r/>
    </w:p>
    <w:p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Обязательные условия размещения для всех лотов: </w:t>
      </w:r>
      <w:r/>
    </w:p>
    <w:p>
      <w:pPr>
        <w:ind w:firstLine="540"/>
        <w:jc w:val="both"/>
        <w:widowControl w:val="off"/>
        <w:rPr>
          <w:b/>
          <w:szCs w:val="28"/>
        </w:rPr>
      </w:pPr>
      <w:r>
        <w:rPr>
          <w:b/>
          <w:szCs w:val="28"/>
        </w:rPr>
        <w:t xml:space="preserve">   а) невозможность одностороннего изменения процентной ставки в сторону уменьшения в течение срока действия депозита;</w:t>
      </w:r>
      <w:r/>
    </w:p>
    <w:p>
      <w:pPr>
        <w:ind w:firstLine="540"/>
        <w:jc w:val="both"/>
        <w:widowControl w:val="off"/>
        <w:rPr>
          <w:b/>
          <w:szCs w:val="28"/>
        </w:rPr>
      </w:pPr>
      <w:r>
        <w:rPr>
          <w:b/>
          <w:szCs w:val="28"/>
        </w:rPr>
        <w:t xml:space="preserve">   б) ежемесячное начисление и  выплата процентов по вкладу (депозиту).</w:t>
      </w:r>
      <w:r>
        <w:rPr>
          <w:b/>
          <w:szCs w:val="28"/>
        </w:rPr>
        <w:t xml:space="preserve"> </w:t>
      </w:r>
      <w:r/>
    </w:p>
    <w:p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Приём заявлений на участие в отборе начинается в 9 ч. 30 мин. «28» ноября 2022г.,  проводится по рабочим дням с 9 ч. 30 мин. до 17 ч. 30 мин. и заканчивается в 17 ч. 00 мин «09» декабря 2022г., по адресу: город Тула,</w:t>
      </w:r>
      <w:r>
        <w:rPr>
          <w:b/>
          <w:szCs w:val="28"/>
        </w:rPr>
        <w:t xml:space="preserve"> у</w:t>
      </w:r>
      <w:r>
        <w:rPr>
          <w:b/>
          <w:szCs w:val="28"/>
        </w:rPr>
        <w:t xml:space="preserve">л. Кирова, д. 135, офис 11 Тульский областной гарантийный фонд. </w:t>
      </w:r>
      <w:r/>
    </w:p>
    <w:p>
      <w:pPr>
        <w:ind w:firstLine="720"/>
        <w:jc w:val="both"/>
        <w:rPr>
          <w:b/>
          <w:szCs w:val="28"/>
          <w:lang w:val="en-US"/>
        </w:rPr>
      </w:pPr>
      <w:r>
        <w:rPr>
          <w:b/>
          <w:szCs w:val="28"/>
        </w:rPr>
        <w:t xml:space="preserve">Дата и адрес вскрытия конвертов: «12» декабря 2022г., город Тула,         ул. Жаворонкова, д. 2, Министерство промышленности и торговли Тульской области.</w:t>
      </w:r>
      <w:r/>
    </w:p>
    <w:p>
      <w:pPr>
        <w:ind w:firstLine="720"/>
        <w:jc w:val="both"/>
        <w:rPr>
          <w:b/>
          <w:szCs w:val="28"/>
        </w:rPr>
      </w:pPr>
      <w:r>
        <w:rPr>
          <w:b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Шаромыгина Татьяна Михайловна</dc:creator>
  <cp:lastModifiedBy>Элина Павлова</cp:lastModifiedBy>
  <cp:revision>3</cp:revision>
  <dcterms:created xsi:type="dcterms:W3CDTF">2022-11-28T12:03:00Z</dcterms:created>
  <dcterms:modified xsi:type="dcterms:W3CDTF">2022-12-30T11:21:28Z</dcterms:modified>
</cp:coreProperties>
</file>